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45F3" w14:textId="4F2CCDA6" w:rsidR="00863B03" w:rsidRPr="001427B2" w:rsidRDefault="003A7326" w:rsidP="00863B03">
      <w:pPr>
        <w:jc w:val="center"/>
        <w:textAlignment w:val="baseline"/>
        <w:rPr>
          <w:rFonts w:eastAsia="Times New Roman"/>
          <w:b/>
          <w:bCs/>
          <w:sz w:val="24"/>
          <w:szCs w:val="24"/>
          <w:u w:val="single"/>
        </w:rPr>
      </w:pPr>
      <w:bookmarkStart w:id="0" w:name="_Hlk128732178"/>
      <w:bookmarkStart w:id="1" w:name="_Hlk110403306"/>
      <w:r w:rsidRPr="003A7326">
        <w:rPr>
          <w:rFonts w:eastAsia="Times New Roman"/>
          <w:b/>
          <w:sz w:val="24"/>
          <w:szCs w:val="24"/>
          <w:u w:val="single"/>
        </w:rPr>
        <w:t>Newburgh Healthcare Residential Center, Inc.</w:t>
      </w:r>
      <w:r w:rsidR="00863B03" w:rsidRPr="003A7326">
        <w:rPr>
          <w:rFonts w:eastAsia="Times New Roman"/>
          <w:b/>
          <w:sz w:val="24"/>
          <w:szCs w:val="24"/>
          <w:u w:val="single"/>
        </w:rPr>
        <w:t xml:space="preserve"> </w:t>
      </w:r>
      <w:r w:rsidR="00863B03" w:rsidRPr="001427B2">
        <w:rPr>
          <w:rFonts w:eastAsia="Times New Roman"/>
          <w:b/>
          <w:bCs/>
          <w:sz w:val="24"/>
          <w:szCs w:val="24"/>
          <w:u w:val="single"/>
        </w:rPr>
        <w:t>Issues Notice of Data Security Incident</w:t>
      </w:r>
    </w:p>
    <w:p w14:paraId="07E7D93A" w14:textId="77777777" w:rsidR="00863B03" w:rsidRPr="001427B2" w:rsidRDefault="00863B03" w:rsidP="00863B03">
      <w:pPr>
        <w:jc w:val="both"/>
        <w:textAlignment w:val="baseline"/>
        <w:rPr>
          <w:rFonts w:eastAsia="Times New Roman"/>
          <w:sz w:val="24"/>
          <w:szCs w:val="24"/>
        </w:rPr>
      </w:pPr>
      <w:bookmarkStart w:id="2" w:name="_Hlk110403341"/>
      <w:bookmarkStart w:id="3" w:name="_Hlk128731795"/>
      <w:bookmarkEnd w:id="0"/>
    </w:p>
    <w:bookmarkEnd w:id="2"/>
    <w:bookmarkEnd w:id="3"/>
    <w:p w14:paraId="64853BF1" w14:textId="27D15CC4" w:rsidR="00863B03" w:rsidRPr="001427B2" w:rsidRDefault="00863B03" w:rsidP="00863B03">
      <w:pPr>
        <w:jc w:val="both"/>
        <w:textAlignment w:val="baseline"/>
        <w:rPr>
          <w:rFonts w:eastAsia="Times New Roman"/>
          <w:sz w:val="24"/>
          <w:szCs w:val="24"/>
        </w:rPr>
      </w:pPr>
      <w:r w:rsidRPr="001427B2">
        <w:rPr>
          <w:rFonts w:eastAsia="Times New Roman"/>
          <w:sz w:val="24"/>
          <w:szCs w:val="24"/>
        </w:rPr>
        <w:t xml:space="preserve">On or about </w:t>
      </w:r>
      <w:r w:rsidR="003A7326" w:rsidRPr="00666A55">
        <w:rPr>
          <w:rFonts w:eastAsia="Times New Roman"/>
          <w:sz w:val="24"/>
          <w:szCs w:val="24"/>
        </w:rPr>
        <w:t>February 4, 2025,</w:t>
      </w:r>
      <w:r w:rsidRPr="00666A55">
        <w:rPr>
          <w:rFonts w:eastAsia="Times New Roman"/>
          <w:sz w:val="24"/>
          <w:szCs w:val="24"/>
        </w:rPr>
        <w:t xml:space="preserve"> </w:t>
      </w:r>
      <w:r w:rsidR="003A7326" w:rsidRPr="00666A55">
        <w:rPr>
          <w:rFonts w:eastAsia="Times New Roman"/>
          <w:sz w:val="24"/>
          <w:szCs w:val="24"/>
        </w:rPr>
        <w:t>Newburgh Healthcare Residential</w:t>
      </w:r>
      <w:r w:rsidR="00666A55" w:rsidRPr="00666A55">
        <w:rPr>
          <w:rFonts w:eastAsia="Times New Roman"/>
          <w:sz w:val="24"/>
          <w:szCs w:val="24"/>
        </w:rPr>
        <w:t xml:space="preserve"> Center</w:t>
      </w:r>
      <w:r w:rsidR="003A7326" w:rsidRPr="00666A55">
        <w:rPr>
          <w:rFonts w:eastAsia="Times New Roman"/>
          <w:sz w:val="24"/>
          <w:szCs w:val="24"/>
        </w:rPr>
        <w:t>, Inc. (“NH</w:t>
      </w:r>
      <w:r w:rsidR="00666A55" w:rsidRPr="00666A55">
        <w:rPr>
          <w:rFonts w:eastAsia="Times New Roman"/>
          <w:sz w:val="24"/>
          <w:szCs w:val="24"/>
        </w:rPr>
        <w:t>C”)</w:t>
      </w:r>
      <w:r w:rsidRPr="00666A55">
        <w:rPr>
          <w:rFonts w:eastAsia="Times New Roman"/>
          <w:sz w:val="24"/>
          <w:szCs w:val="24"/>
        </w:rPr>
        <w:t xml:space="preserve"> </w:t>
      </w:r>
      <w:r w:rsidRPr="00870C97">
        <w:rPr>
          <w:rFonts w:eastAsia="Times New Roman"/>
          <w:sz w:val="24"/>
          <w:szCs w:val="24"/>
        </w:rPr>
        <w:t xml:space="preserve">experienced a </w:t>
      </w:r>
      <w:r w:rsidR="00666A55">
        <w:rPr>
          <w:rFonts w:eastAsia="Times New Roman"/>
          <w:sz w:val="24"/>
          <w:szCs w:val="24"/>
        </w:rPr>
        <w:t>data security</w:t>
      </w:r>
      <w:r w:rsidRPr="00666A55">
        <w:rPr>
          <w:rFonts w:eastAsia="Times New Roman"/>
          <w:sz w:val="24"/>
          <w:szCs w:val="24"/>
        </w:rPr>
        <w:t xml:space="preserve"> incident</w:t>
      </w:r>
      <w:r w:rsidR="00D573DF">
        <w:rPr>
          <w:rFonts w:eastAsia="Times New Roman"/>
          <w:sz w:val="24"/>
          <w:szCs w:val="24"/>
        </w:rPr>
        <w:t xml:space="preserve"> </w:t>
      </w:r>
      <w:r w:rsidR="00D573DF" w:rsidRPr="001427B2">
        <w:rPr>
          <w:rFonts w:eastAsia="Times New Roman"/>
          <w:sz w:val="24"/>
          <w:szCs w:val="24"/>
        </w:rPr>
        <w:t>which may have affected the information of certain individuals</w:t>
      </w:r>
      <w:r w:rsidRPr="00870C97">
        <w:rPr>
          <w:rFonts w:eastAsia="Times New Roman"/>
          <w:sz w:val="24"/>
          <w:szCs w:val="24"/>
        </w:rPr>
        <w:t xml:space="preserve">. </w:t>
      </w:r>
      <w:r w:rsidR="00247ABB">
        <w:rPr>
          <w:rFonts w:eastAsia="Times New Roman"/>
          <w:sz w:val="24"/>
          <w:szCs w:val="24"/>
        </w:rPr>
        <w:t>NHC</w:t>
      </w:r>
      <w:r w:rsidR="007A4474" w:rsidRPr="000C1CEF">
        <w:rPr>
          <w:rFonts w:eastAsia="Times New Roman"/>
          <w:sz w:val="24"/>
          <w:szCs w:val="24"/>
        </w:rPr>
        <w:t xml:space="preserve"> has since diligently worked to determine what happened and what information was involved as a result of this incident. </w:t>
      </w:r>
      <w:r w:rsidR="00247ABB">
        <w:rPr>
          <w:rFonts w:eastAsia="Times New Roman"/>
          <w:sz w:val="24"/>
          <w:szCs w:val="24"/>
        </w:rPr>
        <w:t>NHC</w:t>
      </w:r>
      <w:r w:rsidRPr="000C1CEF">
        <w:rPr>
          <w:rFonts w:eastAsia="Times New Roman"/>
          <w:sz w:val="24"/>
          <w:szCs w:val="24"/>
        </w:rPr>
        <w:t xml:space="preserve"> promptly launched an investigation, reported the incident to law enforcement and engaged a national cybersecurity firm to assist in assessing the scope of the incident and took steps to mitigate the potential impact to the community. </w:t>
      </w:r>
      <w:r w:rsidRPr="000C1CEF">
        <w:rPr>
          <w:sz w:val="24"/>
          <w:szCs w:val="24"/>
        </w:rPr>
        <w:t xml:space="preserve">Following </w:t>
      </w:r>
      <w:r w:rsidRPr="008925A9">
        <w:rPr>
          <w:sz w:val="24"/>
          <w:szCs w:val="24"/>
        </w:rPr>
        <w:t xml:space="preserve">an </w:t>
      </w:r>
      <w:r w:rsidRPr="004A18EC">
        <w:rPr>
          <w:sz w:val="24"/>
          <w:szCs w:val="24"/>
        </w:rPr>
        <w:t xml:space="preserve">investigation conducted by third-party forensic specialists, it was determined the incident occurred between </w:t>
      </w:r>
      <w:r w:rsidR="004A18EC" w:rsidRPr="004A18EC">
        <w:rPr>
          <w:rFonts w:eastAsia="Times New Roman"/>
          <w:sz w:val="24"/>
          <w:szCs w:val="24"/>
        </w:rPr>
        <w:t>February 3, 2025,</w:t>
      </w:r>
      <w:r w:rsidR="00FA229C" w:rsidRPr="004A18EC">
        <w:rPr>
          <w:rFonts w:eastAsia="Times New Roman"/>
          <w:sz w:val="24"/>
          <w:szCs w:val="24"/>
        </w:rPr>
        <w:t xml:space="preserve"> </w:t>
      </w:r>
      <w:r w:rsidRPr="004A18EC">
        <w:rPr>
          <w:sz w:val="24"/>
          <w:szCs w:val="24"/>
        </w:rPr>
        <w:t xml:space="preserve">and </w:t>
      </w:r>
      <w:r w:rsidR="004A18EC" w:rsidRPr="004A18EC">
        <w:rPr>
          <w:rFonts w:eastAsia="Times New Roman"/>
          <w:sz w:val="24"/>
          <w:szCs w:val="24"/>
        </w:rPr>
        <w:t>February 5, 2025</w:t>
      </w:r>
      <w:r w:rsidRPr="004A18EC">
        <w:rPr>
          <w:sz w:val="24"/>
          <w:szCs w:val="24"/>
        </w:rPr>
        <w:t xml:space="preserve">. </w:t>
      </w:r>
      <w:r w:rsidRPr="004A18EC">
        <w:rPr>
          <w:rFonts w:eastAsia="Times New Roman"/>
          <w:sz w:val="24"/>
          <w:szCs w:val="24"/>
        </w:rPr>
        <w:t>Upon identification of the potentially impacted data set, data mining was conducted over several months to identify the potentially impacted individuals and what elements of personally identifiable information</w:t>
      </w:r>
      <w:r w:rsidR="004A18EC" w:rsidRPr="004A18EC">
        <w:rPr>
          <w:rFonts w:eastAsia="Times New Roman"/>
          <w:sz w:val="24"/>
          <w:szCs w:val="24"/>
        </w:rPr>
        <w:t xml:space="preserve"> and/or health information</w:t>
      </w:r>
      <w:r w:rsidRPr="004A18EC">
        <w:rPr>
          <w:rFonts w:eastAsia="Times New Roman"/>
          <w:sz w:val="24"/>
          <w:szCs w:val="24"/>
        </w:rPr>
        <w:t xml:space="preserve"> may have been affected. Upon completion of the</w:t>
      </w:r>
      <w:r w:rsidR="00173DDB">
        <w:rPr>
          <w:rFonts w:eastAsia="Times New Roman"/>
          <w:sz w:val="24"/>
          <w:szCs w:val="24"/>
        </w:rPr>
        <w:t xml:space="preserve"> forensic investigation and</w:t>
      </w:r>
      <w:r w:rsidRPr="004A18EC">
        <w:rPr>
          <w:rFonts w:eastAsia="Times New Roman"/>
          <w:sz w:val="24"/>
          <w:szCs w:val="24"/>
        </w:rPr>
        <w:t xml:space="preserve"> data mining, efforts were then initiated to locate sufficient address information for the potentially impacted population.</w:t>
      </w:r>
    </w:p>
    <w:p w14:paraId="66597D64" w14:textId="77777777" w:rsidR="00863B03" w:rsidRPr="002565BC" w:rsidRDefault="00863B03" w:rsidP="00863B03">
      <w:pPr>
        <w:pStyle w:val="Default"/>
        <w:rPr>
          <w:color w:val="auto"/>
        </w:rPr>
      </w:pPr>
    </w:p>
    <w:p w14:paraId="3AA36167" w14:textId="70E7D7E6" w:rsidR="00602FDF" w:rsidRPr="002565BC" w:rsidRDefault="00602FDF" w:rsidP="00602FDF">
      <w:pPr>
        <w:jc w:val="both"/>
        <w:textAlignment w:val="baseline"/>
        <w:rPr>
          <w:rFonts w:eastAsia="Times New Roman"/>
          <w:sz w:val="24"/>
          <w:szCs w:val="24"/>
        </w:rPr>
      </w:pPr>
      <w:r w:rsidRPr="002565BC">
        <w:rPr>
          <w:sz w:val="24"/>
          <w:szCs w:val="24"/>
        </w:rPr>
        <w:t>The elements of personal information that may have been impacted as a result of this incident varies per individual and potentially included: names, addresses,</w:t>
      </w:r>
      <w:r w:rsidR="004A18EC" w:rsidRPr="002565BC">
        <w:rPr>
          <w:rFonts w:eastAsia="Times New Roman"/>
          <w:sz w:val="24"/>
          <w:szCs w:val="24"/>
        </w:rPr>
        <w:t xml:space="preserve"> </w:t>
      </w:r>
      <w:r w:rsidRPr="002565BC">
        <w:rPr>
          <w:rFonts w:eastAsia="Times New Roman"/>
          <w:sz w:val="24"/>
          <w:szCs w:val="24"/>
        </w:rPr>
        <w:t>medical information</w:t>
      </w:r>
      <w:r w:rsidR="002565BC" w:rsidRPr="002565BC">
        <w:rPr>
          <w:rFonts w:eastAsia="Times New Roman"/>
          <w:sz w:val="24"/>
          <w:szCs w:val="24"/>
        </w:rPr>
        <w:t>, and health insurance information.</w:t>
      </w:r>
      <w:r w:rsidRPr="002565BC">
        <w:rPr>
          <w:rFonts w:eastAsia="Times New Roman"/>
          <w:sz w:val="24"/>
          <w:szCs w:val="24"/>
        </w:rPr>
        <w:t xml:space="preserve"> Additionally, for a limited number of individuals, the affected information may have included: </w:t>
      </w:r>
      <w:r w:rsidR="002565BC" w:rsidRPr="002565BC">
        <w:rPr>
          <w:rFonts w:ascii="TimesNewRomanPSMT" w:hAnsi="TimesNewRomanPSMT" w:cs="TimesNewRomanPSMT"/>
          <w:sz w:val="24"/>
          <w:szCs w:val="24"/>
        </w:rPr>
        <w:t>Social Security number.</w:t>
      </w:r>
      <w:r w:rsidRPr="002565BC">
        <w:rPr>
          <w:rFonts w:eastAsia="Times New Roman"/>
          <w:sz w:val="24"/>
          <w:szCs w:val="24"/>
        </w:rPr>
        <w:t xml:space="preserve"> As of this writing, </w:t>
      </w:r>
      <w:r w:rsidR="00247ABB">
        <w:rPr>
          <w:rFonts w:eastAsia="Times New Roman"/>
          <w:sz w:val="24"/>
          <w:szCs w:val="24"/>
        </w:rPr>
        <w:t>NHC</w:t>
      </w:r>
      <w:r w:rsidRPr="002565BC">
        <w:rPr>
          <w:rFonts w:eastAsia="Times New Roman"/>
          <w:sz w:val="24"/>
          <w:szCs w:val="24"/>
        </w:rPr>
        <w:t xml:space="preserve"> has not received any reports from individuals of misuse, identity theft or fraud related to the incident. As data incidents are increasingly common, </w:t>
      </w:r>
      <w:r w:rsidR="00247ABB">
        <w:rPr>
          <w:rFonts w:eastAsia="Times New Roman"/>
          <w:sz w:val="24"/>
          <w:szCs w:val="24"/>
        </w:rPr>
        <w:t>NHC</w:t>
      </w:r>
      <w:r w:rsidRPr="002565BC">
        <w:rPr>
          <w:rFonts w:eastAsia="Times New Roman"/>
          <w:sz w:val="24"/>
          <w:szCs w:val="24"/>
        </w:rPr>
        <w:t xml:space="preserve"> encourages you to always remain vigilant, monitor your accounts, and immediately report any suspicious activity or suspected misuse of your personal information.</w:t>
      </w:r>
    </w:p>
    <w:p w14:paraId="49AAC1D3" w14:textId="77777777" w:rsidR="00863B03" w:rsidRPr="001427B2" w:rsidRDefault="00863B03" w:rsidP="00863B03">
      <w:pPr>
        <w:jc w:val="both"/>
        <w:textAlignment w:val="baseline"/>
        <w:rPr>
          <w:rFonts w:eastAsia="Times New Roman"/>
          <w:sz w:val="24"/>
          <w:szCs w:val="24"/>
        </w:rPr>
      </w:pPr>
    </w:p>
    <w:p w14:paraId="4C2FAEF5" w14:textId="4061C7D0" w:rsidR="003755BC" w:rsidRPr="006E2005" w:rsidRDefault="003755BC" w:rsidP="003755BC">
      <w:pPr>
        <w:jc w:val="both"/>
        <w:textAlignment w:val="baseline"/>
        <w:rPr>
          <w:rFonts w:eastAsia="Times New Roman"/>
          <w:sz w:val="24"/>
          <w:szCs w:val="24"/>
        </w:rPr>
      </w:pPr>
      <w:r w:rsidRPr="001427B2">
        <w:rPr>
          <w:rFonts w:eastAsia="Times New Roman"/>
          <w:sz w:val="24"/>
          <w:szCs w:val="24"/>
        </w:rPr>
        <w:t xml:space="preserve">Unfortunately, these types of incidents are becoming </w:t>
      </w:r>
      <w:r w:rsidRPr="006E2005">
        <w:rPr>
          <w:rFonts w:eastAsia="Times New Roman"/>
          <w:sz w:val="24"/>
          <w:szCs w:val="24"/>
        </w:rPr>
        <w:t xml:space="preserve">increasingly common and organizations with the most sophisticated IT infrastructure available continue to be affected. </w:t>
      </w:r>
      <w:r w:rsidR="00247ABB">
        <w:rPr>
          <w:rFonts w:eastAsia="Times New Roman"/>
          <w:sz w:val="24"/>
          <w:szCs w:val="24"/>
        </w:rPr>
        <w:t>NHC</w:t>
      </w:r>
      <w:r w:rsidRPr="006E2005">
        <w:rPr>
          <w:rFonts w:eastAsia="Times New Roman"/>
          <w:sz w:val="24"/>
          <w:szCs w:val="24"/>
        </w:rPr>
        <w:t xml:space="preserve"> understand</w:t>
      </w:r>
      <w:r w:rsidR="002565BC" w:rsidRPr="006E2005">
        <w:rPr>
          <w:rFonts w:eastAsia="Times New Roman"/>
          <w:sz w:val="24"/>
          <w:szCs w:val="24"/>
        </w:rPr>
        <w:t>s</w:t>
      </w:r>
      <w:r w:rsidRPr="006E2005">
        <w:rPr>
          <w:rFonts w:eastAsia="Times New Roman"/>
          <w:sz w:val="24"/>
          <w:szCs w:val="24"/>
        </w:rPr>
        <w:t xml:space="preserve"> the inconvenience or concern this incident may cause</w:t>
      </w:r>
      <w:r w:rsidR="001818A9" w:rsidRPr="006E2005">
        <w:rPr>
          <w:rFonts w:eastAsia="Times New Roman"/>
          <w:sz w:val="24"/>
          <w:szCs w:val="24"/>
        </w:rPr>
        <w:t xml:space="preserve">, </w:t>
      </w:r>
      <w:r w:rsidRPr="006E2005">
        <w:rPr>
          <w:rFonts w:eastAsia="Times New Roman"/>
          <w:sz w:val="24"/>
          <w:szCs w:val="24"/>
        </w:rPr>
        <w:t xml:space="preserve">is committed to ensuring the security of all information in its </w:t>
      </w:r>
      <w:r w:rsidR="001818A9" w:rsidRPr="006E2005">
        <w:rPr>
          <w:rFonts w:eastAsia="Times New Roman"/>
          <w:sz w:val="24"/>
          <w:szCs w:val="24"/>
        </w:rPr>
        <w:t>control and</w:t>
      </w:r>
      <w:r w:rsidRPr="006E2005">
        <w:rPr>
          <w:rFonts w:eastAsia="Times New Roman"/>
          <w:sz w:val="24"/>
          <w:szCs w:val="24"/>
        </w:rPr>
        <w:t xml:space="preserve"> has taken steps to strengthen its security posture.</w:t>
      </w:r>
    </w:p>
    <w:p w14:paraId="78E5689E" w14:textId="77777777" w:rsidR="00863B03" w:rsidRPr="006E2005" w:rsidRDefault="00863B03" w:rsidP="00863B03">
      <w:pPr>
        <w:jc w:val="both"/>
        <w:textAlignment w:val="baseline"/>
        <w:rPr>
          <w:rFonts w:eastAsia="Times New Roman"/>
          <w:sz w:val="24"/>
          <w:szCs w:val="24"/>
        </w:rPr>
      </w:pPr>
    </w:p>
    <w:bookmarkEnd w:id="1"/>
    <w:p w14:paraId="3489C71F" w14:textId="54DE3238" w:rsidR="00CF090C" w:rsidRPr="006E2005" w:rsidRDefault="00247ABB" w:rsidP="00CF090C">
      <w:pPr>
        <w:jc w:val="both"/>
        <w:textAlignment w:val="baseline"/>
        <w:rPr>
          <w:sz w:val="24"/>
          <w:szCs w:val="24"/>
        </w:rPr>
      </w:pPr>
      <w:r>
        <w:rPr>
          <w:rFonts w:eastAsia="Times New Roman"/>
          <w:sz w:val="24"/>
          <w:szCs w:val="24"/>
        </w:rPr>
        <w:t>NHC</w:t>
      </w:r>
      <w:r w:rsidR="00CF090C" w:rsidRPr="006E2005">
        <w:rPr>
          <w:rFonts w:eastAsia="Times New Roman"/>
          <w:sz w:val="24"/>
          <w:szCs w:val="24"/>
        </w:rPr>
        <w:t xml:space="preserve"> mailed </w:t>
      </w:r>
      <w:r w:rsidR="00390B8C" w:rsidRPr="006E2005">
        <w:rPr>
          <w:rFonts w:eastAsia="Times New Roman"/>
          <w:sz w:val="24"/>
          <w:szCs w:val="24"/>
        </w:rPr>
        <w:t xml:space="preserve">formal </w:t>
      </w:r>
      <w:r w:rsidR="00CF090C" w:rsidRPr="006E2005">
        <w:rPr>
          <w:rFonts w:eastAsia="Times New Roman"/>
          <w:sz w:val="24"/>
          <w:szCs w:val="24"/>
        </w:rPr>
        <w:t xml:space="preserve">notification letters to potentially affected individuals on </w:t>
      </w:r>
      <w:r w:rsidR="00570288">
        <w:rPr>
          <w:rFonts w:eastAsia="Times New Roman"/>
          <w:sz w:val="24"/>
          <w:szCs w:val="24"/>
        </w:rPr>
        <w:t>January 27, 2026.</w:t>
      </w:r>
      <w:r w:rsidR="00CF090C" w:rsidRPr="00C2682C">
        <w:rPr>
          <w:rFonts w:eastAsia="Times New Roman"/>
          <w:color w:val="FF0000"/>
          <w:sz w:val="24"/>
          <w:szCs w:val="24"/>
        </w:rPr>
        <w:t xml:space="preserve"> </w:t>
      </w:r>
      <w:r w:rsidR="00CF090C" w:rsidRPr="006E2005">
        <w:rPr>
          <w:rFonts w:eastAsia="Times New Roman"/>
          <w:sz w:val="24"/>
          <w:szCs w:val="24"/>
        </w:rPr>
        <w:t xml:space="preserve">The letters included additional information about what occurred, outlined the personal information that was potentially impacted for each individual, and provided a toll-free number that individuals can call to learn more about the incident. The call center can be reached at </w:t>
      </w:r>
      <w:r w:rsidR="006E2005" w:rsidRPr="006E2005">
        <w:t>1-800-405-6108</w:t>
      </w:r>
      <w:r w:rsidR="00CF090C" w:rsidRPr="006E2005">
        <w:rPr>
          <w:rFonts w:eastAsia="Times New Roman"/>
          <w:sz w:val="24"/>
          <w:szCs w:val="24"/>
        </w:rPr>
        <w:t>, and is available Monday through Friday,</w:t>
      </w:r>
      <w:r w:rsidR="00CF090C" w:rsidRPr="006E2005">
        <w:rPr>
          <w:sz w:val="24"/>
          <w:szCs w:val="24"/>
        </w:rPr>
        <w:t xml:space="preserve"> </w:t>
      </w:r>
      <w:r w:rsidR="004C0658" w:rsidRPr="006E2005">
        <w:rPr>
          <w:sz w:val="24"/>
          <w:szCs w:val="24"/>
        </w:rPr>
        <w:t>6</w:t>
      </w:r>
      <w:r w:rsidR="00CF090C" w:rsidRPr="006E2005">
        <w:rPr>
          <w:sz w:val="24"/>
          <w:szCs w:val="24"/>
        </w:rPr>
        <w:t xml:space="preserve">:00 a.m. and </w:t>
      </w:r>
      <w:r w:rsidR="004C0658" w:rsidRPr="006E2005">
        <w:rPr>
          <w:sz w:val="24"/>
          <w:szCs w:val="24"/>
        </w:rPr>
        <w:t>6</w:t>
      </w:r>
      <w:r w:rsidR="00CF090C" w:rsidRPr="006E2005">
        <w:rPr>
          <w:sz w:val="24"/>
          <w:szCs w:val="24"/>
        </w:rPr>
        <w:t xml:space="preserve">:00 p.m. </w:t>
      </w:r>
      <w:r w:rsidR="004C0658" w:rsidRPr="006E2005">
        <w:rPr>
          <w:sz w:val="24"/>
          <w:szCs w:val="24"/>
        </w:rPr>
        <w:t>Pacific</w:t>
      </w:r>
      <w:r w:rsidR="00CF090C" w:rsidRPr="006E2005">
        <w:rPr>
          <w:sz w:val="24"/>
          <w:szCs w:val="24"/>
        </w:rPr>
        <w:t xml:space="preserve"> Time.</w:t>
      </w:r>
    </w:p>
    <w:p w14:paraId="1759188A" w14:textId="77777777" w:rsidR="00165502" w:rsidRPr="00343161" w:rsidRDefault="00165502" w:rsidP="00825FA1">
      <w:pPr>
        <w:textAlignment w:val="baseline"/>
        <w:rPr>
          <w:rFonts w:eastAsia="Times New Roman"/>
          <w:b/>
          <w:bCs/>
          <w:sz w:val="24"/>
          <w:szCs w:val="24"/>
          <w:u w:val="single"/>
        </w:rPr>
      </w:pPr>
    </w:p>
    <w:p w14:paraId="7C5EBD24" w14:textId="37A02FDE" w:rsidR="00FC5C3B" w:rsidRPr="00343161" w:rsidRDefault="00FC5C3B" w:rsidP="00FC5C3B">
      <w:pPr>
        <w:jc w:val="center"/>
        <w:textAlignment w:val="baseline"/>
        <w:rPr>
          <w:rFonts w:eastAsia="Times New Roman"/>
          <w:b/>
          <w:bCs/>
          <w:sz w:val="24"/>
          <w:szCs w:val="24"/>
          <w:u w:val="single"/>
        </w:rPr>
      </w:pPr>
      <w:r w:rsidRPr="00343161">
        <w:rPr>
          <w:rFonts w:eastAsia="Times New Roman"/>
          <w:b/>
          <w:bCs/>
          <w:sz w:val="24"/>
          <w:szCs w:val="24"/>
          <w:u w:val="single"/>
        </w:rPr>
        <w:t>Steps Individuals Can Take to Protect Personal Information</w:t>
      </w:r>
    </w:p>
    <w:p w14:paraId="47558189" w14:textId="77777777" w:rsidR="00FC5C3B" w:rsidRPr="00343161" w:rsidRDefault="00FC5C3B" w:rsidP="00FC5C3B">
      <w:pPr>
        <w:jc w:val="both"/>
        <w:textAlignment w:val="baseline"/>
        <w:rPr>
          <w:rFonts w:eastAsia="Times New Roman"/>
          <w:sz w:val="24"/>
          <w:szCs w:val="24"/>
        </w:rPr>
      </w:pPr>
    </w:p>
    <w:p w14:paraId="592F7827" w14:textId="77777777" w:rsidR="00343161" w:rsidRPr="00343161" w:rsidRDefault="00343161" w:rsidP="00343161">
      <w:pPr>
        <w:jc w:val="both"/>
        <w:textAlignment w:val="baseline"/>
        <w:rPr>
          <w:rFonts w:eastAsia="Times New Roman"/>
          <w:b/>
          <w:bCs/>
          <w:sz w:val="24"/>
          <w:szCs w:val="24"/>
          <w:u w:val="single"/>
        </w:rPr>
      </w:pPr>
      <w:r w:rsidRPr="00343161">
        <w:rPr>
          <w:rFonts w:eastAsia="Times New Roman"/>
          <w:b/>
          <w:bCs/>
          <w:sz w:val="24"/>
          <w:szCs w:val="24"/>
          <w:u w:val="single"/>
        </w:rPr>
        <w:t>Monitor Accounts</w:t>
      </w:r>
    </w:p>
    <w:p w14:paraId="0D214EBB" w14:textId="77777777" w:rsidR="00343161" w:rsidRPr="00343161" w:rsidRDefault="00343161" w:rsidP="00343161">
      <w:pPr>
        <w:jc w:val="both"/>
        <w:textAlignment w:val="baseline"/>
        <w:rPr>
          <w:rFonts w:eastAsia="Times New Roman"/>
          <w:b/>
          <w:bCs/>
          <w:sz w:val="24"/>
          <w:szCs w:val="24"/>
          <w:u w:val="single"/>
        </w:rPr>
      </w:pPr>
    </w:p>
    <w:p w14:paraId="51D61840" w14:textId="77777777" w:rsidR="00343161" w:rsidRPr="00343161" w:rsidRDefault="00343161" w:rsidP="00343161">
      <w:pPr>
        <w:jc w:val="both"/>
        <w:textAlignment w:val="baseline"/>
        <w:rPr>
          <w:rFonts w:eastAsia="Times New Roman"/>
          <w:sz w:val="24"/>
          <w:szCs w:val="24"/>
        </w:rPr>
      </w:pPr>
      <w:r w:rsidRPr="00343161">
        <w:rPr>
          <w:rFonts w:eastAsia="Times New Roman"/>
          <w:sz w:val="24"/>
          <w:szCs w:val="24"/>
        </w:rPr>
        <w:t xml:space="preserve">Under U.S. law, a consumer is entitled to one free credit report annually from each of the three major credit reporting bureaus, Equifax, Experian, and TransUnion. To order your free credit report, visit </w:t>
      </w:r>
      <w:r w:rsidRPr="00343161">
        <w:rPr>
          <w:rFonts w:eastAsia="Times New Roman"/>
          <w:sz w:val="24"/>
          <w:szCs w:val="24"/>
          <w:u w:val="single"/>
        </w:rPr>
        <w:t>www.annualcreditreport.com</w:t>
      </w:r>
      <w:r w:rsidRPr="00343161">
        <w:rPr>
          <w:rFonts w:eastAsia="Times New Roman"/>
          <w:sz w:val="24"/>
          <w:szCs w:val="24"/>
        </w:rPr>
        <w:t xml:space="preserve"> or call, toll-free, 1-877-322-8228. You may also directly contact the three major credit reporting bureaus listed below to request a free copy of your credit report.</w:t>
      </w:r>
    </w:p>
    <w:p w14:paraId="25C38CF1" w14:textId="77777777" w:rsidR="00040BD4" w:rsidRDefault="00040BD4" w:rsidP="00343161">
      <w:pPr>
        <w:jc w:val="both"/>
        <w:textAlignment w:val="baseline"/>
        <w:rPr>
          <w:rFonts w:eastAsia="Times New Roman"/>
          <w:sz w:val="24"/>
          <w:szCs w:val="24"/>
        </w:rPr>
      </w:pPr>
    </w:p>
    <w:p w14:paraId="0BA35401" w14:textId="77777777" w:rsidR="00040BD4" w:rsidRPr="00343161" w:rsidRDefault="00040BD4" w:rsidP="00343161">
      <w:pPr>
        <w:jc w:val="both"/>
        <w:textAlignment w:val="baseline"/>
        <w:rPr>
          <w:rFonts w:eastAsia="Times New Roman"/>
          <w:sz w:val="24"/>
          <w:szCs w:val="24"/>
        </w:rPr>
      </w:pPr>
    </w:p>
    <w:p w14:paraId="0112FA6B" w14:textId="77777777" w:rsidR="00343161" w:rsidRPr="00343161" w:rsidRDefault="00343161" w:rsidP="00343161">
      <w:pPr>
        <w:jc w:val="both"/>
        <w:textAlignment w:val="baseline"/>
        <w:rPr>
          <w:rFonts w:eastAsia="Times New Roman"/>
          <w:b/>
          <w:bCs/>
          <w:sz w:val="24"/>
          <w:szCs w:val="24"/>
          <w:u w:val="single"/>
        </w:rPr>
      </w:pPr>
      <w:r w:rsidRPr="00343161">
        <w:rPr>
          <w:rFonts w:eastAsia="Times New Roman"/>
          <w:b/>
          <w:bCs/>
          <w:sz w:val="24"/>
          <w:szCs w:val="24"/>
          <w:u w:val="single"/>
        </w:rPr>
        <w:t>Fraud Alerts</w:t>
      </w:r>
    </w:p>
    <w:p w14:paraId="501D8894" w14:textId="77777777" w:rsidR="00343161" w:rsidRPr="00343161" w:rsidRDefault="00343161" w:rsidP="00343161">
      <w:pPr>
        <w:jc w:val="both"/>
        <w:textAlignment w:val="baseline"/>
        <w:rPr>
          <w:rFonts w:eastAsia="Times New Roman"/>
          <w:sz w:val="24"/>
          <w:szCs w:val="24"/>
        </w:rPr>
      </w:pPr>
    </w:p>
    <w:p w14:paraId="180D67F7" w14:textId="77777777" w:rsidR="00343161" w:rsidRPr="00343161" w:rsidRDefault="00343161" w:rsidP="00343161">
      <w:pPr>
        <w:jc w:val="both"/>
        <w:textAlignment w:val="baseline"/>
        <w:rPr>
          <w:rFonts w:eastAsia="Times New Roman"/>
          <w:sz w:val="24"/>
          <w:szCs w:val="24"/>
        </w:rPr>
      </w:pPr>
      <w:r w:rsidRPr="00343161">
        <w:rPr>
          <w:rFonts w:eastAsia="Times New Roman"/>
          <w:sz w:val="24"/>
          <w:szCs w:val="24"/>
        </w:rPr>
        <w:t xml:space="preserve">Consumers have the right to place an initial or extended “fraud alert” on a credit file at no cost. An initial fraud alert is a one-year alert that is placed on a consumer’s credit file. Upon seeing a fraud alert display on a consumer’s credit file, a business is required to take steps to verify the consumer’s identity before extending new credit. If you are a victim of identity theft, you are entitled to an </w:t>
      </w:r>
      <w:r w:rsidRPr="00343161">
        <w:rPr>
          <w:rFonts w:eastAsia="Times New Roman"/>
          <w:sz w:val="24"/>
          <w:szCs w:val="24"/>
        </w:rPr>
        <w:lastRenderedPageBreak/>
        <w:t>extended fraud alert, which is a fraud alert lasting seven years. Should you wish to place a fraud alert, please contact any one of the three major credit reporting bureaus listed below.</w:t>
      </w:r>
    </w:p>
    <w:p w14:paraId="011537F1" w14:textId="77777777" w:rsidR="00343161" w:rsidRPr="00343161" w:rsidRDefault="00343161" w:rsidP="00FC5C3B">
      <w:pPr>
        <w:jc w:val="both"/>
        <w:textAlignment w:val="baseline"/>
        <w:rPr>
          <w:rFonts w:eastAsia="Times New Roman"/>
          <w:b/>
          <w:bCs/>
          <w:sz w:val="24"/>
          <w:szCs w:val="24"/>
          <w:u w:val="single"/>
        </w:rPr>
      </w:pPr>
    </w:p>
    <w:p w14:paraId="2578BDD2" w14:textId="555A37A2" w:rsidR="00343161" w:rsidRPr="00343161" w:rsidRDefault="00343161" w:rsidP="00FC5C3B">
      <w:pPr>
        <w:jc w:val="both"/>
        <w:textAlignment w:val="baseline"/>
        <w:rPr>
          <w:rFonts w:eastAsia="Times New Roman"/>
          <w:b/>
          <w:bCs/>
          <w:sz w:val="24"/>
          <w:szCs w:val="24"/>
          <w:u w:val="single"/>
        </w:rPr>
      </w:pPr>
      <w:r w:rsidRPr="00343161">
        <w:rPr>
          <w:rFonts w:eastAsia="Times New Roman"/>
          <w:b/>
          <w:bCs/>
          <w:sz w:val="24"/>
          <w:szCs w:val="24"/>
          <w:u w:val="single"/>
        </w:rPr>
        <w:t xml:space="preserve">Security Freeze </w:t>
      </w:r>
    </w:p>
    <w:p w14:paraId="1F796080" w14:textId="77777777" w:rsidR="00343161" w:rsidRPr="00343161" w:rsidRDefault="00343161" w:rsidP="00FC5C3B">
      <w:pPr>
        <w:jc w:val="both"/>
        <w:textAlignment w:val="baseline"/>
        <w:rPr>
          <w:rFonts w:eastAsia="Times New Roman"/>
          <w:sz w:val="24"/>
          <w:szCs w:val="24"/>
        </w:rPr>
      </w:pPr>
    </w:p>
    <w:p w14:paraId="365752B1" w14:textId="384B2646" w:rsidR="00FC5C3B" w:rsidRPr="00343161" w:rsidRDefault="00343161" w:rsidP="00FC5C3B">
      <w:pPr>
        <w:jc w:val="both"/>
        <w:textAlignment w:val="baseline"/>
        <w:rPr>
          <w:rFonts w:eastAsia="Times New Roman"/>
          <w:sz w:val="24"/>
          <w:szCs w:val="24"/>
        </w:rPr>
      </w:pPr>
      <w:r w:rsidRPr="00343161">
        <w:rPr>
          <w:rFonts w:eastAsia="Times New Roman"/>
          <w:sz w:val="24"/>
          <w:szCs w:val="24"/>
        </w:rPr>
        <w:t>C</w:t>
      </w:r>
      <w:r w:rsidR="00FC5C3B" w:rsidRPr="00343161">
        <w:rPr>
          <w:rFonts w:eastAsia="Times New Roman"/>
          <w:sz w:val="24"/>
          <w:szCs w:val="24"/>
        </w:rPr>
        <w:t xml:space="preserve">onsumers have the right to place a “credit freeze” on a credit report, which will prohibit a credit bureau from releasing information in the credit report without the consumer’s express authorization. The credit freeze is designed to prevent credit, loans, and services from being approved in your name without your consent. However, you should be aware that using a credit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 Pursuant to federal law, you cannot be charged to place or lift a credit freeze on your credit report. </w:t>
      </w:r>
    </w:p>
    <w:p w14:paraId="4F0C15AF" w14:textId="77777777" w:rsidR="00FC5C3B" w:rsidRPr="00343161" w:rsidRDefault="00FC5C3B" w:rsidP="00FC5C3B">
      <w:pPr>
        <w:jc w:val="both"/>
        <w:textAlignment w:val="baseline"/>
        <w:rPr>
          <w:rFonts w:eastAsia="Times New Roman"/>
          <w:sz w:val="24"/>
          <w:szCs w:val="24"/>
        </w:rPr>
      </w:pPr>
    </w:p>
    <w:p w14:paraId="1DA8BC0F"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Full name (including middle initial as well as Jr., Sr., II, III, etc.);</w:t>
      </w:r>
    </w:p>
    <w:p w14:paraId="6D434AFC"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Social Security number;</w:t>
      </w:r>
    </w:p>
    <w:p w14:paraId="49A0A6F3"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Date of birth;</w:t>
      </w:r>
    </w:p>
    <w:p w14:paraId="3331866E"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Addresses for the prior two to five years;</w:t>
      </w:r>
    </w:p>
    <w:p w14:paraId="0DFEEEC0"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Proof of current address, such as a current utility bill or telephone bill;</w:t>
      </w:r>
    </w:p>
    <w:p w14:paraId="0819E57D"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A legible photocopy of a government-issued identification card (state driver’s license or ID card, etc.); and</w:t>
      </w:r>
    </w:p>
    <w:p w14:paraId="6485A68D" w14:textId="77777777" w:rsidR="00FC5C3B" w:rsidRPr="00343161" w:rsidRDefault="00FC5C3B" w:rsidP="00FC5C3B">
      <w:pPr>
        <w:numPr>
          <w:ilvl w:val="0"/>
          <w:numId w:val="1"/>
        </w:numPr>
        <w:jc w:val="both"/>
        <w:textAlignment w:val="baseline"/>
        <w:rPr>
          <w:rFonts w:eastAsia="Times New Roman"/>
          <w:sz w:val="24"/>
          <w:szCs w:val="24"/>
        </w:rPr>
      </w:pPr>
      <w:r w:rsidRPr="00343161">
        <w:rPr>
          <w:rFonts w:eastAsia="Times New Roman"/>
          <w:sz w:val="24"/>
          <w:szCs w:val="24"/>
        </w:rPr>
        <w:t>A copy of either the police report, investigative report, or complaint to a law enforcement agency concerning identity theft if you are a victim of identity theft.</w:t>
      </w:r>
    </w:p>
    <w:p w14:paraId="76536DA0" w14:textId="77777777" w:rsidR="00FC5C3B" w:rsidRPr="00343161" w:rsidRDefault="00FC5C3B" w:rsidP="00FC5C3B">
      <w:pPr>
        <w:jc w:val="both"/>
        <w:textAlignment w:val="baseline"/>
        <w:rPr>
          <w:rFonts w:eastAsia="Times New Roman"/>
          <w:sz w:val="24"/>
          <w:szCs w:val="24"/>
        </w:rPr>
      </w:pPr>
    </w:p>
    <w:p w14:paraId="79A17D5F" w14:textId="77777777" w:rsidR="00FC5C3B" w:rsidRPr="00343161" w:rsidRDefault="00FC5C3B" w:rsidP="00FC5C3B">
      <w:pPr>
        <w:jc w:val="both"/>
        <w:textAlignment w:val="baseline"/>
        <w:rPr>
          <w:rFonts w:eastAsia="Times New Roman"/>
          <w:sz w:val="24"/>
          <w:szCs w:val="24"/>
        </w:rPr>
      </w:pPr>
      <w:r w:rsidRPr="00343161">
        <w:rPr>
          <w:rFonts w:eastAsia="Times New Roman"/>
          <w:sz w:val="24"/>
          <w:szCs w:val="24"/>
        </w:rPr>
        <w:t>Should you wish to place a fraud alert or credit freeze, please contact the three major credit reporting bureaus listed below:</w:t>
      </w:r>
    </w:p>
    <w:p w14:paraId="4353953B" w14:textId="77777777" w:rsidR="00FC5C3B" w:rsidRPr="00343161" w:rsidRDefault="00FC5C3B" w:rsidP="00FC5C3B">
      <w:pPr>
        <w:jc w:val="both"/>
        <w:textAlignment w:val="baseline"/>
        <w:rPr>
          <w:rFonts w:eastAsia="Times New Roman"/>
          <w:sz w:val="24"/>
          <w:szCs w:val="24"/>
        </w:rPr>
      </w:pPr>
    </w:p>
    <w:tbl>
      <w:tblPr>
        <w:tblW w:w="9630" w:type="dxa"/>
        <w:tblLayout w:type="fixed"/>
        <w:tblLook w:val="04A0" w:firstRow="1" w:lastRow="0" w:firstColumn="1" w:lastColumn="0" w:noHBand="0" w:noVBand="1"/>
      </w:tblPr>
      <w:tblGrid>
        <w:gridCol w:w="3228"/>
        <w:gridCol w:w="3367"/>
        <w:gridCol w:w="3035"/>
      </w:tblGrid>
      <w:tr w:rsidR="00FC5C3B" w:rsidRPr="00343161" w14:paraId="4AC434DD" w14:textId="77777777" w:rsidTr="00CF090C">
        <w:trPr>
          <w:trHeight w:val="313"/>
        </w:trPr>
        <w:tc>
          <w:tcPr>
            <w:tcW w:w="3228" w:type="dxa"/>
            <w:vAlign w:val="bottom"/>
            <w:hideMark/>
          </w:tcPr>
          <w:p w14:paraId="7890CBAD" w14:textId="77777777" w:rsidR="00FC5C3B" w:rsidRPr="00343161" w:rsidRDefault="00FC5C3B" w:rsidP="00CF090C">
            <w:pPr>
              <w:jc w:val="both"/>
              <w:textAlignment w:val="baseline"/>
              <w:rPr>
                <w:rFonts w:eastAsia="Times New Roman"/>
                <w:b/>
                <w:bCs/>
                <w:sz w:val="24"/>
                <w:szCs w:val="24"/>
              </w:rPr>
            </w:pPr>
            <w:r w:rsidRPr="00343161">
              <w:rPr>
                <w:rFonts w:eastAsia="Times New Roman"/>
                <w:b/>
                <w:bCs/>
                <w:sz w:val="24"/>
                <w:szCs w:val="24"/>
              </w:rPr>
              <w:t>Equifax</w:t>
            </w:r>
          </w:p>
        </w:tc>
        <w:tc>
          <w:tcPr>
            <w:tcW w:w="3367" w:type="dxa"/>
            <w:vAlign w:val="bottom"/>
            <w:hideMark/>
          </w:tcPr>
          <w:p w14:paraId="65E2A47B" w14:textId="77777777" w:rsidR="00FC5C3B" w:rsidRPr="00343161" w:rsidRDefault="00FC5C3B" w:rsidP="00CF090C">
            <w:pPr>
              <w:jc w:val="both"/>
              <w:textAlignment w:val="baseline"/>
              <w:rPr>
                <w:rFonts w:eastAsia="Times New Roman"/>
                <w:b/>
                <w:bCs/>
                <w:sz w:val="24"/>
                <w:szCs w:val="24"/>
              </w:rPr>
            </w:pPr>
            <w:r w:rsidRPr="00343161">
              <w:rPr>
                <w:rFonts w:eastAsia="Times New Roman"/>
                <w:b/>
                <w:bCs/>
                <w:sz w:val="24"/>
                <w:szCs w:val="24"/>
              </w:rPr>
              <w:t>Experian</w:t>
            </w:r>
          </w:p>
        </w:tc>
        <w:tc>
          <w:tcPr>
            <w:tcW w:w="3035" w:type="dxa"/>
            <w:vAlign w:val="bottom"/>
            <w:hideMark/>
          </w:tcPr>
          <w:p w14:paraId="42CCED9B" w14:textId="77777777" w:rsidR="00FC5C3B" w:rsidRPr="00343161" w:rsidRDefault="00FC5C3B" w:rsidP="00CF090C">
            <w:pPr>
              <w:jc w:val="both"/>
              <w:textAlignment w:val="baseline"/>
              <w:rPr>
                <w:rFonts w:eastAsia="Times New Roman"/>
                <w:b/>
                <w:bCs/>
                <w:sz w:val="24"/>
                <w:szCs w:val="24"/>
              </w:rPr>
            </w:pPr>
            <w:r w:rsidRPr="00343161">
              <w:rPr>
                <w:rFonts w:eastAsia="Times New Roman"/>
                <w:b/>
                <w:bCs/>
                <w:sz w:val="24"/>
                <w:szCs w:val="24"/>
              </w:rPr>
              <w:t xml:space="preserve">TransUnion </w:t>
            </w:r>
          </w:p>
        </w:tc>
      </w:tr>
      <w:tr w:rsidR="00FC5C3B" w:rsidRPr="00343161" w14:paraId="0B1E1BBB" w14:textId="77777777" w:rsidTr="00CF090C">
        <w:trPr>
          <w:trHeight w:val="313"/>
        </w:trPr>
        <w:tc>
          <w:tcPr>
            <w:tcW w:w="3228" w:type="dxa"/>
            <w:vAlign w:val="bottom"/>
            <w:hideMark/>
          </w:tcPr>
          <w:p w14:paraId="642CEF27"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https://www.equifax.com/personal/credit-report-services/</w:t>
            </w:r>
          </w:p>
        </w:tc>
        <w:tc>
          <w:tcPr>
            <w:tcW w:w="3367" w:type="dxa"/>
            <w:vAlign w:val="bottom"/>
            <w:hideMark/>
          </w:tcPr>
          <w:p w14:paraId="2ADFA873"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https://www.experian.com/help/</w:t>
            </w:r>
          </w:p>
        </w:tc>
        <w:tc>
          <w:tcPr>
            <w:tcW w:w="3035" w:type="dxa"/>
            <w:vAlign w:val="bottom"/>
            <w:hideMark/>
          </w:tcPr>
          <w:p w14:paraId="614E123A" w14:textId="501F5FA7" w:rsidR="00FC5C3B" w:rsidRPr="00343161" w:rsidRDefault="002C6E73" w:rsidP="00CF090C">
            <w:pPr>
              <w:jc w:val="both"/>
              <w:textAlignment w:val="baseline"/>
              <w:rPr>
                <w:rFonts w:eastAsia="Times New Roman"/>
                <w:sz w:val="24"/>
                <w:szCs w:val="24"/>
              </w:rPr>
            </w:pPr>
            <w:hyperlink r:id="rId8" w:history="1">
              <w:r w:rsidRPr="007725E0">
                <w:rPr>
                  <w:rStyle w:val="Hyperlink"/>
                  <w:rFonts w:eastAsia="Times New Roman"/>
                  <w:sz w:val="24"/>
                  <w:szCs w:val="24"/>
                </w:rPr>
                <w:t>https://www.transunion.com/credit-help</w:t>
              </w:r>
            </w:hyperlink>
          </w:p>
        </w:tc>
      </w:tr>
      <w:tr w:rsidR="00FC5C3B" w:rsidRPr="00343161" w14:paraId="1319AE81" w14:textId="77777777" w:rsidTr="00CF090C">
        <w:trPr>
          <w:trHeight w:val="313"/>
        </w:trPr>
        <w:tc>
          <w:tcPr>
            <w:tcW w:w="3228" w:type="dxa"/>
            <w:vAlign w:val="bottom"/>
            <w:hideMark/>
          </w:tcPr>
          <w:p w14:paraId="1D1A948D"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888-298-0045</w:t>
            </w:r>
          </w:p>
        </w:tc>
        <w:tc>
          <w:tcPr>
            <w:tcW w:w="3367" w:type="dxa"/>
            <w:vAlign w:val="bottom"/>
            <w:hideMark/>
          </w:tcPr>
          <w:p w14:paraId="1FC1A0DE"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1-888-397-3742</w:t>
            </w:r>
          </w:p>
        </w:tc>
        <w:tc>
          <w:tcPr>
            <w:tcW w:w="3035" w:type="dxa"/>
            <w:vAlign w:val="bottom"/>
            <w:hideMark/>
          </w:tcPr>
          <w:p w14:paraId="62452E9A"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833-395-6938</w:t>
            </w:r>
          </w:p>
        </w:tc>
      </w:tr>
      <w:tr w:rsidR="00FC5C3B" w:rsidRPr="00343161" w14:paraId="26C1D597" w14:textId="77777777" w:rsidTr="00CF090C">
        <w:trPr>
          <w:trHeight w:val="313"/>
        </w:trPr>
        <w:tc>
          <w:tcPr>
            <w:tcW w:w="3228" w:type="dxa"/>
            <w:vAlign w:val="bottom"/>
            <w:hideMark/>
          </w:tcPr>
          <w:p w14:paraId="5B483532"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Equifax Fraud Alert</w:t>
            </w:r>
          </w:p>
          <w:p w14:paraId="7C2DB10D"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P.O. Box 105069</w:t>
            </w:r>
          </w:p>
          <w:p w14:paraId="7FEE4385"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Atlanta, GA 30348-5069</w:t>
            </w:r>
          </w:p>
        </w:tc>
        <w:tc>
          <w:tcPr>
            <w:tcW w:w="3367" w:type="dxa"/>
            <w:vAlign w:val="bottom"/>
            <w:hideMark/>
          </w:tcPr>
          <w:p w14:paraId="72A132A2"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 xml:space="preserve">Experian Fraud Alert </w:t>
            </w:r>
          </w:p>
          <w:p w14:paraId="2D2071A8"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 xml:space="preserve">P.O. Box 9554 </w:t>
            </w:r>
          </w:p>
          <w:p w14:paraId="50B4F6CC"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Allen, TX 75013</w:t>
            </w:r>
          </w:p>
        </w:tc>
        <w:tc>
          <w:tcPr>
            <w:tcW w:w="3035" w:type="dxa"/>
            <w:vAlign w:val="bottom"/>
            <w:hideMark/>
          </w:tcPr>
          <w:p w14:paraId="496CD5DD"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TransUnion Fraud Alert</w:t>
            </w:r>
          </w:p>
          <w:p w14:paraId="6F554C62"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P.O. Box 2000</w:t>
            </w:r>
          </w:p>
          <w:p w14:paraId="36604848"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Chester, PA 19016</w:t>
            </w:r>
          </w:p>
        </w:tc>
      </w:tr>
      <w:tr w:rsidR="00FC5C3B" w:rsidRPr="00343161" w14:paraId="0A880882" w14:textId="77777777" w:rsidTr="00CF090C">
        <w:trPr>
          <w:trHeight w:val="313"/>
        </w:trPr>
        <w:tc>
          <w:tcPr>
            <w:tcW w:w="3228" w:type="dxa"/>
            <w:vAlign w:val="bottom"/>
            <w:hideMark/>
          </w:tcPr>
          <w:p w14:paraId="752BB6C0"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Equifax Credit Freeze</w:t>
            </w:r>
          </w:p>
          <w:p w14:paraId="290EED18"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 xml:space="preserve">P.O. Box 105788 </w:t>
            </w:r>
          </w:p>
          <w:p w14:paraId="3CAA899C"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Atlanta, GA 30348-5788</w:t>
            </w:r>
          </w:p>
        </w:tc>
        <w:tc>
          <w:tcPr>
            <w:tcW w:w="3367" w:type="dxa"/>
            <w:vAlign w:val="bottom"/>
            <w:hideMark/>
          </w:tcPr>
          <w:p w14:paraId="756E01FB"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Experian Credit Freeze</w:t>
            </w:r>
          </w:p>
          <w:p w14:paraId="184EF1FF"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P.O. Box 9554</w:t>
            </w:r>
          </w:p>
          <w:p w14:paraId="27A68833"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Allen, TX 75013</w:t>
            </w:r>
          </w:p>
        </w:tc>
        <w:tc>
          <w:tcPr>
            <w:tcW w:w="3035" w:type="dxa"/>
            <w:vAlign w:val="bottom"/>
            <w:hideMark/>
          </w:tcPr>
          <w:p w14:paraId="3AC3C7B9"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TransUnion Credit Freeze</w:t>
            </w:r>
          </w:p>
          <w:p w14:paraId="03D1CAB8"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P.O. Box 160</w:t>
            </w:r>
          </w:p>
          <w:p w14:paraId="225AA566" w14:textId="77777777" w:rsidR="00FC5C3B" w:rsidRPr="00343161" w:rsidRDefault="00FC5C3B" w:rsidP="00CF090C">
            <w:pPr>
              <w:jc w:val="both"/>
              <w:textAlignment w:val="baseline"/>
              <w:rPr>
                <w:rFonts w:eastAsia="Times New Roman"/>
                <w:sz w:val="24"/>
                <w:szCs w:val="24"/>
              </w:rPr>
            </w:pPr>
            <w:r w:rsidRPr="00343161">
              <w:rPr>
                <w:rFonts w:eastAsia="Times New Roman"/>
                <w:sz w:val="24"/>
                <w:szCs w:val="24"/>
              </w:rPr>
              <w:t>Woodlyn, PA 19094</w:t>
            </w:r>
          </w:p>
        </w:tc>
      </w:tr>
    </w:tbl>
    <w:p w14:paraId="1FBB1D86" w14:textId="77777777" w:rsidR="00FC5C3B" w:rsidRPr="00343161" w:rsidRDefault="00FC5C3B" w:rsidP="00FC5C3B">
      <w:pPr>
        <w:jc w:val="both"/>
        <w:textAlignment w:val="baseline"/>
        <w:rPr>
          <w:rFonts w:eastAsia="Times New Roman"/>
          <w:sz w:val="24"/>
          <w:szCs w:val="24"/>
        </w:rPr>
      </w:pPr>
    </w:p>
    <w:p w14:paraId="570B0233" w14:textId="77777777" w:rsidR="00343161" w:rsidRPr="00343161" w:rsidRDefault="00343161" w:rsidP="00343161">
      <w:pPr>
        <w:rPr>
          <w:b/>
          <w:bCs/>
          <w:sz w:val="24"/>
          <w:szCs w:val="24"/>
          <w:u w:val="single"/>
          <w:lang w:val="en"/>
        </w:rPr>
      </w:pPr>
      <w:r w:rsidRPr="00343161">
        <w:rPr>
          <w:b/>
          <w:bCs/>
          <w:sz w:val="24"/>
          <w:szCs w:val="24"/>
          <w:u w:val="single"/>
          <w:lang w:val="en"/>
        </w:rPr>
        <w:t>Free Credit Reports</w:t>
      </w:r>
    </w:p>
    <w:p w14:paraId="5C604301" w14:textId="77777777" w:rsidR="00343161" w:rsidRPr="00343161" w:rsidRDefault="00343161" w:rsidP="00343161">
      <w:pPr>
        <w:rPr>
          <w:sz w:val="24"/>
          <w:szCs w:val="24"/>
          <w:lang w:val="en"/>
        </w:rPr>
      </w:pPr>
    </w:p>
    <w:p w14:paraId="73F76D74" w14:textId="77777777" w:rsidR="00343161" w:rsidRPr="00343161" w:rsidRDefault="00343161" w:rsidP="01E46881">
      <w:pPr>
        <w:rPr>
          <w:sz w:val="24"/>
          <w:szCs w:val="24"/>
        </w:rPr>
      </w:pPr>
      <w:r w:rsidRPr="01E46881">
        <w:rPr>
          <w:sz w:val="24"/>
          <w:szCs w:val="24"/>
        </w:rPr>
        <w:t xml:space="preserve">Further, you may obtain a copy of your credit report, free of charge, whether or not you suspect any unauthorized activity on your account. You may obtain a free copy of your credit report from each of the three nationwide credit reporting agencies. To order your free credit report, please visit </w:t>
      </w:r>
      <w:hyperlink r:id="rId9">
        <w:r w:rsidRPr="01E46881">
          <w:rPr>
            <w:rStyle w:val="Hyperlink"/>
            <w:sz w:val="24"/>
            <w:szCs w:val="24"/>
          </w:rPr>
          <w:t>www.annualcreditreport.com</w:t>
        </w:r>
      </w:hyperlink>
      <w:r w:rsidRPr="01E46881">
        <w:rPr>
          <w:sz w:val="24"/>
          <w:szCs w:val="24"/>
        </w:rPr>
        <w:t xml:space="preserve">, or call toll-free at 1-877-322-8228. You can also order your annual free credit report by mailing a completed Annual Credit Report Request Form (available at </w:t>
      </w:r>
      <w:hyperlink r:id="rId10">
        <w:r w:rsidRPr="01E46881">
          <w:rPr>
            <w:rStyle w:val="Hyperlink"/>
            <w:sz w:val="24"/>
            <w:szCs w:val="24"/>
          </w:rPr>
          <w:t>https://www.consumer.ftc.gov/articles/0155-free-credit-reports</w:t>
        </w:r>
      </w:hyperlink>
      <w:r w:rsidRPr="01E46881">
        <w:rPr>
          <w:sz w:val="24"/>
          <w:szCs w:val="24"/>
        </w:rPr>
        <w:t>) to: Annual Credit Report Request Service, P.O. Box 105281, Atlanta, GA, 30348-5281.</w:t>
      </w:r>
    </w:p>
    <w:p w14:paraId="762EF126" w14:textId="77777777" w:rsidR="00343161" w:rsidRPr="00343161" w:rsidRDefault="00343161" w:rsidP="00343161">
      <w:pPr>
        <w:rPr>
          <w:sz w:val="24"/>
          <w:szCs w:val="24"/>
          <w:lang w:val="en"/>
        </w:rPr>
      </w:pPr>
    </w:p>
    <w:p w14:paraId="01E6424F" w14:textId="77777777" w:rsidR="00343161" w:rsidRPr="00343161" w:rsidRDefault="00343161" w:rsidP="00343161">
      <w:pPr>
        <w:rPr>
          <w:sz w:val="24"/>
          <w:szCs w:val="24"/>
          <w:lang w:val="en"/>
        </w:rPr>
      </w:pPr>
      <w:r w:rsidRPr="00343161">
        <w:rPr>
          <w:sz w:val="24"/>
          <w:szCs w:val="24"/>
          <w:lang w:val="en"/>
        </w:rPr>
        <w:t xml:space="preserve">                </w:t>
      </w:r>
    </w:p>
    <w:p w14:paraId="798A7BC8" w14:textId="77777777" w:rsidR="00343161" w:rsidRPr="00343161" w:rsidRDefault="00343161" w:rsidP="00343161">
      <w:pPr>
        <w:ind w:firstLine="720"/>
        <w:rPr>
          <w:b/>
          <w:bCs/>
          <w:sz w:val="24"/>
          <w:szCs w:val="24"/>
          <w:u w:val="single"/>
          <w:lang w:val="en"/>
        </w:rPr>
      </w:pPr>
      <w:r w:rsidRPr="00343161">
        <w:rPr>
          <w:b/>
          <w:bCs/>
          <w:sz w:val="24"/>
          <w:szCs w:val="24"/>
          <w:u w:val="single"/>
          <w:lang w:val="en"/>
        </w:rPr>
        <w:lastRenderedPageBreak/>
        <w:t>Implementing an Identity Protection PIN (IP PIN) with the IRS</w:t>
      </w:r>
    </w:p>
    <w:p w14:paraId="50BB9281" w14:textId="77777777" w:rsidR="00343161" w:rsidRPr="00343161" w:rsidRDefault="00343161" w:rsidP="00343161">
      <w:pPr>
        <w:rPr>
          <w:b/>
          <w:bCs/>
          <w:sz w:val="24"/>
          <w:szCs w:val="24"/>
          <w:u w:val="single"/>
          <w:lang w:val="en"/>
        </w:rPr>
      </w:pPr>
    </w:p>
    <w:p w14:paraId="46F05088" w14:textId="77777777" w:rsidR="00343161" w:rsidRPr="00343161" w:rsidRDefault="00343161" w:rsidP="00343161">
      <w:pPr>
        <w:rPr>
          <w:sz w:val="24"/>
          <w:szCs w:val="24"/>
        </w:rPr>
      </w:pPr>
      <w:r w:rsidRPr="00343161">
        <w:rPr>
          <w:sz w:val="24"/>
          <w:szCs w:val="24"/>
        </w:rPr>
        <w:t>An Identity Protection PIN (IP PIN) is a six-digit number that prevents someone else from filing a tax return using your Social Security number or Individual Taxpayer Identification Number. The IP PIN is known only to you and the IRS. It helps the IRS verify your identity when you file your electronic or paper tax return. Even though you may not have a filing requirement, an IP PIN still protects your account.</w:t>
      </w:r>
    </w:p>
    <w:p w14:paraId="0C4E39F1" w14:textId="77777777" w:rsidR="00343161" w:rsidRPr="00343161" w:rsidRDefault="00343161" w:rsidP="00343161">
      <w:pPr>
        <w:rPr>
          <w:sz w:val="24"/>
          <w:szCs w:val="24"/>
        </w:rPr>
      </w:pPr>
    </w:p>
    <w:p w14:paraId="30117F6F" w14:textId="77777777" w:rsidR="00343161" w:rsidRPr="00343161" w:rsidRDefault="00343161" w:rsidP="00343161">
      <w:pPr>
        <w:rPr>
          <w:sz w:val="24"/>
          <w:szCs w:val="24"/>
        </w:rPr>
      </w:pPr>
      <w:r w:rsidRPr="00343161">
        <w:rPr>
          <w:sz w:val="24"/>
          <w:szCs w:val="24"/>
        </w:rPr>
        <w:t xml:space="preserve">If you don't already have an IP PIN, you may get an IP PIN as a proactive step to protect yourself from tax-related identity theft. If you want to request an IP PIN, please note: you must pass an identity verification process; and Spouses and dependents are eligible for an IP PIN if they can pass the identity verification process. The fastest way to receive an IP PIN is by using the online Get an IP PIN tool found here: </w:t>
      </w:r>
      <w:hyperlink r:id="rId11" w:history="1">
        <w:r w:rsidRPr="00343161">
          <w:rPr>
            <w:rStyle w:val="Hyperlink"/>
            <w:sz w:val="24"/>
            <w:szCs w:val="24"/>
            <w:lang w:val="en"/>
          </w:rPr>
          <w:t>https://www.irs.gov/identity-theft-fraud-scams/get-an-identity-protection-pin</w:t>
        </w:r>
      </w:hyperlink>
      <w:r w:rsidRPr="00343161">
        <w:rPr>
          <w:sz w:val="24"/>
          <w:szCs w:val="24"/>
          <w:lang w:val="en"/>
        </w:rPr>
        <w:t>.</w:t>
      </w:r>
      <w:r w:rsidRPr="00343161">
        <w:rPr>
          <w:sz w:val="24"/>
          <w:szCs w:val="24"/>
        </w:rPr>
        <w:t xml:space="preserve"> If you wish to get an IP PIN and you don’t already have an account on IRS.gov, you must register to validate your identity. </w:t>
      </w:r>
    </w:p>
    <w:p w14:paraId="2A529799" w14:textId="77777777" w:rsidR="00343161" w:rsidRPr="00343161" w:rsidRDefault="00343161" w:rsidP="00343161">
      <w:pPr>
        <w:rPr>
          <w:sz w:val="24"/>
          <w:szCs w:val="24"/>
        </w:rPr>
      </w:pPr>
    </w:p>
    <w:p w14:paraId="3D8E8CFE" w14:textId="77777777" w:rsidR="00343161" w:rsidRPr="00343161" w:rsidRDefault="00343161" w:rsidP="00343161">
      <w:pPr>
        <w:rPr>
          <w:sz w:val="24"/>
          <w:szCs w:val="24"/>
        </w:rPr>
      </w:pPr>
      <w:r w:rsidRPr="00343161">
        <w:rPr>
          <w:sz w:val="24"/>
          <w:szCs w:val="24"/>
        </w:rPr>
        <w:t xml:space="preserve">Some items to consider when obtaining an IP PIN with the IRS: </w:t>
      </w:r>
    </w:p>
    <w:p w14:paraId="20C3BFE5" w14:textId="77777777" w:rsidR="00343161" w:rsidRPr="00343161" w:rsidRDefault="00343161" w:rsidP="00343161">
      <w:pPr>
        <w:rPr>
          <w:sz w:val="24"/>
          <w:szCs w:val="24"/>
        </w:rPr>
      </w:pPr>
    </w:p>
    <w:p w14:paraId="10A582F2" w14:textId="77777777" w:rsidR="00343161" w:rsidRPr="00343161" w:rsidRDefault="00343161" w:rsidP="00343161">
      <w:pPr>
        <w:numPr>
          <w:ilvl w:val="0"/>
          <w:numId w:val="2"/>
        </w:numPr>
        <w:tabs>
          <w:tab w:val="clear" w:pos="720"/>
          <w:tab w:val="num" w:pos="0"/>
        </w:tabs>
        <w:rPr>
          <w:sz w:val="24"/>
          <w:szCs w:val="24"/>
        </w:rPr>
      </w:pPr>
      <w:r w:rsidRPr="00343161">
        <w:rPr>
          <w:sz w:val="24"/>
          <w:szCs w:val="24"/>
        </w:rPr>
        <w:t>An IP PIN is valid for one calendar year.</w:t>
      </w:r>
    </w:p>
    <w:p w14:paraId="389D2DB8" w14:textId="77777777" w:rsidR="00343161" w:rsidRPr="00343161" w:rsidRDefault="00343161" w:rsidP="00343161">
      <w:pPr>
        <w:numPr>
          <w:ilvl w:val="0"/>
          <w:numId w:val="2"/>
        </w:numPr>
        <w:tabs>
          <w:tab w:val="clear" w:pos="720"/>
          <w:tab w:val="num" w:pos="0"/>
        </w:tabs>
        <w:rPr>
          <w:sz w:val="24"/>
          <w:szCs w:val="24"/>
        </w:rPr>
      </w:pPr>
      <w:r w:rsidRPr="00343161">
        <w:rPr>
          <w:sz w:val="24"/>
          <w:szCs w:val="24"/>
        </w:rPr>
        <w:t>A new IP PIN is generated each year for your account.</w:t>
      </w:r>
    </w:p>
    <w:p w14:paraId="00EFC157" w14:textId="77777777" w:rsidR="00343161" w:rsidRPr="00343161" w:rsidRDefault="00343161" w:rsidP="00343161">
      <w:pPr>
        <w:numPr>
          <w:ilvl w:val="0"/>
          <w:numId w:val="2"/>
        </w:numPr>
        <w:tabs>
          <w:tab w:val="clear" w:pos="720"/>
          <w:tab w:val="num" w:pos="0"/>
        </w:tabs>
        <w:rPr>
          <w:sz w:val="24"/>
          <w:szCs w:val="24"/>
        </w:rPr>
      </w:pPr>
      <w:r w:rsidRPr="00343161">
        <w:rPr>
          <w:sz w:val="24"/>
          <w:szCs w:val="24"/>
        </w:rPr>
        <w:t>Logging back into the Get an IP PIN tool, will display your current IP PIN.</w:t>
      </w:r>
    </w:p>
    <w:p w14:paraId="08D8E3C0" w14:textId="77777777" w:rsidR="00343161" w:rsidRPr="00343161" w:rsidRDefault="00343161" w:rsidP="00343161">
      <w:pPr>
        <w:numPr>
          <w:ilvl w:val="0"/>
          <w:numId w:val="2"/>
        </w:numPr>
        <w:tabs>
          <w:tab w:val="clear" w:pos="720"/>
          <w:tab w:val="num" w:pos="0"/>
        </w:tabs>
        <w:rPr>
          <w:sz w:val="24"/>
          <w:szCs w:val="24"/>
        </w:rPr>
      </w:pPr>
      <w:r w:rsidRPr="00343161">
        <w:rPr>
          <w:sz w:val="24"/>
          <w:szCs w:val="24"/>
        </w:rPr>
        <w:t>An IP PIN must be used when filing any federal tax returns during the year including prior year returns.  </w:t>
      </w:r>
    </w:p>
    <w:p w14:paraId="03A5F89F" w14:textId="77777777" w:rsidR="00343161" w:rsidRPr="00343161" w:rsidRDefault="00343161" w:rsidP="00343161">
      <w:pPr>
        <w:numPr>
          <w:ilvl w:val="0"/>
          <w:numId w:val="2"/>
        </w:numPr>
        <w:tabs>
          <w:tab w:val="clear" w:pos="720"/>
          <w:tab w:val="num" w:pos="0"/>
        </w:tabs>
        <w:rPr>
          <w:sz w:val="24"/>
          <w:szCs w:val="24"/>
        </w:rPr>
      </w:pPr>
      <w:hyperlink r:id="rId12" w:tooltip="FAQs about the Identity Protection Personal Identification Number (IP PIN)" w:history="1">
        <w:r w:rsidRPr="00343161">
          <w:rPr>
            <w:rStyle w:val="Hyperlink"/>
            <w:sz w:val="24"/>
            <w:szCs w:val="24"/>
          </w:rPr>
          <w:t>FAQs about the Identity Protection Personal Identification Number (IP PIN)</w:t>
        </w:r>
      </w:hyperlink>
    </w:p>
    <w:p w14:paraId="106762C1" w14:textId="77777777" w:rsidR="00343161" w:rsidRPr="00343161" w:rsidRDefault="00343161" w:rsidP="00FC5C3B">
      <w:pPr>
        <w:jc w:val="both"/>
        <w:textAlignment w:val="baseline"/>
        <w:rPr>
          <w:rFonts w:eastAsia="Times New Roman"/>
          <w:sz w:val="24"/>
          <w:szCs w:val="24"/>
        </w:rPr>
      </w:pPr>
    </w:p>
    <w:p w14:paraId="68685D4B" w14:textId="43BBA2F5" w:rsidR="00FC5C3B" w:rsidRPr="00343161" w:rsidRDefault="00FC5C3B" w:rsidP="00FC5C3B">
      <w:pPr>
        <w:jc w:val="both"/>
        <w:textAlignment w:val="baseline"/>
        <w:rPr>
          <w:rFonts w:eastAsia="Times New Roman"/>
          <w:b/>
          <w:sz w:val="24"/>
          <w:szCs w:val="24"/>
        </w:rPr>
      </w:pPr>
      <w:r w:rsidRPr="00343161">
        <w:rPr>
          <w:rFonts w:eastAsia="Times New Roman"/>
          <w:sz w:val="24"/>
          <w:szCs w:val="24"/>
        </w:rPr>
        <w:t>Individuals may further educate yourself regarding identity theft, fraud alerts, credit freezes, and the steps you can take to protect your personal information by contacting the consumer reporting bureaus, the Federal Trade Commission, or your state Attorney General.</w:t>
      </w:r>
      <w:r w:rsidRPr="00343161">
        <w:rPr>
          <w:rFonts w:eastAsia="Times New Roman"/>
          <w:b/>
          <w:sz w:val="24"/>
          <w:szCs w:val="24"/>
        </w:rPr>
        <w:t xml:space="preserve"> </w:t>
      </w:r>
      <w:r w:rsidRPr="00343161">
        <w:rPr>
          <w:rFonts w:eastAsia="Times New Roman"/>
          <w:sz w:val="24"/>
          <w:szCs w:val="24"/>
        </w:rPr>
        <w:t xml:space="preserve">The Federal Trade Commission may be reached at: 600 Pennsylvania Avenue NW, Washington, DC 20580; </w:t>
      </w:r>
      <w:r w:rsidRPr="00343161">
        <w:rPr>
          <w:rFonts w:eastAsia="Times New Roman"/>
          <w:sz w:val="24"/>
          <w:szCs w:val="24"/>
          <w:u w:val="single"/>
        </w:rPr>
        <w:t>www.identitytheft.gov</w:t>
      </w:r>
      <w:r w:rsidRPr="00343161">
        <w:rPr>
          <w:rFonts w:eastAsia="Times New Roman"/>
          <w:sz w:val="24"/>
          <w:szCs w:val="24"/>
        </w:rPr>
        <w:t>; 1-877-ID-THEFT (1-877-438-4338); and TTY: 1-866-653-4261. The Federal Trade Commission also encourages those who discover that their information has been misused to file a complaint with them. You can obtain further information on how to file such a complaint by way of the contact information listed above. You have the right to file a police report if you ever experience identity theft or fraud. Please note that in order to file a report with law enforcement for identity theft, you will likely need to provide some proof that you have been a victim. Instances of known or suspected identity theft should also be reported to law enforcement and your state Attorney General. This notice has not been delayed by law enforcement.</w:t>
      </w:r>
    </w:p>
    <w:p w14:paraId="710DCF91" w14:textId="77777777" w:rsidR="00FC5C3B" w:rsidRPr="00343161" w:rsidRDefault="00FC5C3B" w:rsidP="00FC5C3B">
      <w:pPr>
        <w:jc w:val="both"/>
        <w:textAlignment w:val="baseline"/>
        <w:rPr>
          <w:rFonts w:eastAsia="Times New Roman"/>
          <w:sz w:val="24"/>
          <w:szCs w:val="24"/>
        </w:rPr>
        <w:sectPr w:rsidR="00FC5C3B" w:rsidRPr="00343161" w:rsidSect="001B590D">
          <w:headerReference w:type="default" r:id="rId13"/>
          <w:type w:val="continuous"/>
          <w:pgSz w:w="12240" w:h="15840"/>
          <w:pgMar w:top="1440" w:right="1405" w:bottom="304" w:left="1435" w:header="720" w:footer="720" w:gutter="0"/>
          <w:cols w:space="720"/>
        </w:sectPr>
      </w:pPr>
    </w:p>
    <w:p w14:paraId="63883B7B" w14:textId="77777777" w:rsidR="00FC5C3B" w:rsidRPr="00343161" w:rsidRDefault="00FC5C3B" w:rsidP="00A0215D">
      <w:pPr>
        <w:jc w:val="both"/>
        <w:rPr>
          <w:rFonts w:eastAsia="Calibri"/>
          <w:sz w:val="24"/>
          <w:szCs w:val="24"/>
        </w:rPr>
      </w:pPr>
    </w:p>
    <w:p w14:paraId="0DC7FC4E" w14:textId="77777777" w:rsidR="00343161" w:rsidRPr="00343161" w:rsidRDefault="00343161">
      <w:pPr>
        <w:jc w:val="both"/>
        <w:rPr>
          <w:rFonts w:eastAsia="Calibri"/>
          <w:sz w:val="24"/>
          <w:szCs w:val="24"/>
        </w:rPr>
      </w:pPr>
    </w:p>
    <w:sectPr w:rsidR="00343161" w:rsidRPr="00343161">
      <w:type w:val="continuous"/>
      <w:pgSz w:w="12240" w:h="15840"/>
      <w:pgMar w:top="1440" w:right="9935" w:bottom="304"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53C9" w14:textId="77777777" w:rsidR="00C841BE" w:rsidRDefault="00C841BE">
      <w:r>
        <w:separator/>
      </w:r>
    </w:p>
  </w:endnote>
  <w:endnote w:type="continuationSeparator" w:id="0">
    <w:p w14:paraId="5103AA06" w14:textId="77777777" w:rsidR="00C841BE" w:rsidRDefault="00C841BE">
      <w:r>
        <w:continuationSeparator/>
      </w:r>
    </w:p>
  </w:endnote>
  <w:endnote w:type="continuationNotice" w:id="1">
    <w:p w14:paraId="2002EA96" w14:textId="77777777" w:rsidR="00C841BE" w:rsidRDefault="00C8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3A81" w14:textId="77777777" w:rsidR="00C841BE" w:rsidRDefault="00C841BE">
      <w:r>
        <w:separator/>
      </w:r>
    </w:p>
  </w:footnote>
  <w:footnote w:type="continuationSeparator" w:id="0">
    <w:p w14:paraId="0F070E3A" w14:textId="77777777" w:rsidR="00C841BE" w:rsidRDefault="00C841BE">
      <w:r>
        <w:continuationSeparator/>
      </w:r>
    </w:p>
  </w:footnote>
  <w:footnote w:type="continuationNotice" w:id="1">
    <w:p w14:paraId="12CFFC56" w14:textId="77777777" w:rsidR="00C841BE" w:rsidRDefault="00C84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4071" w14:textId="7D085223" w:rsidR="00FC5C3B" w:rsidRDefault="00FC5C3B" w:rsidP="00FC5C3B">
    <w:pPr>
      <w:pStyle w:val="Header"/>
      <w:jc w:val="center"/>
    </w:pPr>
    <w:r>
      <w:rPr>
        <w:rFonts w:eastAsia="Times New Roman"/>
        <w:b/>
        <w:color w:val="000000"/>
        <w:sz w:val="24"/>
        <w:szCs w:val="24"/>
        <w:u w:val="single"/>
      </w:rPr>
      <w:t>Website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EFD"/>
    <w:multiLevelType w:val="multilevel"/>
    <w:tmpl w:val="2EDE6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62281E"/>
    <w:multiLevelType w:val="multilevel"/>
    <w:tmpl w:val="78886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780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85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28154D"/>
    <w:rsid w:val="00000D3E"/>
    <w:rsid w:val="00001138"/>
    <w:rsid w:val="00020B9B"/>
    <w:rsid w:val="00040BD4"/>
    <w:rsid w:val="000900A2"/>
    <w:rsid w:val="00092B58"/>
    <w:rsid w:val="00092E58"/>
    <w:rsid w:val="0009317B"/>
    <w:rsid w:val="00095775"/>
    <w:rsid w:val="000969F4"/>
    <w:rsid w:val="000A76B8"/>
    <w:rsid w:val="000C1CEF"/>
    <w:rsid w:val="000D11DC"/>
    <w:rsid w:val="00117AFC"/>
    <w:rsid w:val="0016012F"/>
    <w:rsid w:val="00165502"/>
    <w:rsid w:val="00170828"/>
    <w:rsid w:val="00173DDB"/>
    <w:rsid w:val="001818A9"/>
    <w:rsid w:val="00185EDC"/>
    <w:rsid w:val="001A2232"/>
    <w:rsid w:val="001B09C6"/>
    <w:rsid w:val="001B590D"/>
    <w:rsid w:val="001E0667"/>
    <w:rsid w:val="002170B7"/>
    <w:rsid w:val="00247ABB"/>
    <w:rsid w:val="002565BC"/>
    <w:rsid w:val="002644AF"/>
    <w:rsid w:val="00264BF6"/>
    <w:rsid w:val="002656D6"/>
    <w:rsid w:val="0027389C"/>
    <w:rsid w:val="0028154D"/>
    <w:rsid w:val="002C6E73"/>
    <w:rsid w:val="002F097A"/>
    <w:rsid w:val="003410D7"/>
    <w:rsid w:val="00343161"/>
    <w:rsid w:val="00346F21"/>
    <w:rsid w:val="00350641"/>
    <w:rsid w:val="00353CDF"/>
    <w:rsid w:val="003755BC"/>
    <w:rsid w:val="00390B8C"/>
    <w:rsid w:val="003A2ED6"/>
    <w:rsid w:val="003A7326"/>
    <w:rsid w:val="003E6F5B"/>
    <w:rsid w:val="004012C1"/>
    <w:rsid w:val="00407DE9"/>
    <w:rsid w:val="004166EF"/>
    <w:rsid w:val="00420A7D"/>
    <w:rsid w:val="0042225C"/>
    <w:rsid w:val="00426274"/>
    <w:rsid w:val="004407BC"/>
    <w:rsid w:val="00462573"/>
    <w:rsid w:val="00466CB6"/>
    <w:rsid w:val="00486513"/>
    <w:rsid w:val="00495BFC"/>
    <w:rsid w:val="004A18EC"/>
    <w:rsid w:val="004B29C5"/>
    <w:rsid w:val="004C0658"/>
    <w:rsid w:val="004F1A0E"/>
    <w:rsid w:val="00512BF7"/>
    <w:rsid w:val="00517C15"/>
    <w:rsid w:val="00520996"/>
    <w:rsid w:val="005227A5"/>
    <w:rsid w:val="00525206"/>
    <w:rsid w:val="005422AE"/>
    <w:rsid w:val="005619F6"/>
    <w:rsid w:val="00565450"/>
    <w:rsid w:val="00570288"/>
    <w:rsid w:val="005824B9"/>
    <w:rsid w:val="00594958"/>
    <w:rsid w:val="005C103D"/>
    <w:rsid w:val="00602FDF"/>
    <w:rsid w:val="00613CED"/>
    <w:rsid w:val="00616E8A"/>
    <w:rsid w:val="00666A55"/>
    <w:rsid w:val="00676BF7"/>
    <w:rsid w:val="00676EE9"/>
    <w:rsid w:val="006805D7"/>
    <w:rsid w:val="006B431C"/>
    <w:rsid w:val="006C2ECD"/>
    <w:rsid w:val="006D5637"/>
    <w:rsid w:val="006E2005"/>
    <w:rsid w:val="006F267B"/>
    <w:rsid w:val="00713103"/>
    <w:rsid w:val="00732A9F"/>
    <w:rsid w:val="007527B7"/>
    <w:rsid w:val="0075663E"/>
    <w:rsid w:val="00761F38"/>
    <w:rsid w:val="0078484D"/>
    <w:rsid w:val="00784E4C"/>
    <w:rsid w:val="007938C8"/>
    <w:rsid w:val="007A4474"/>
    <w:rsid w:val="007B5431"/>
    <w:rsid w:val="007C2225"/>
    <w:rsid w:val="007C490A"/>
    <w:rsid w:val="007D0242"/>
    <w:rsid w:val="007F051E"/>
    <w:rsid w:val="007F1CEA"/>
    <w:rsid w:val="007F4FDD"/>
    <w:rsid w:val="00817141"/>
    <w:rsid w:val="00825FA1"/>
    <w:rsid w:val="00863B03"/>
    <w:rsid w:val="0088179E"/>
    <w:rsid w:val="00882F77"/>
    <w:rsid w:val="008C56F5"/>
    <w:rsid w:val="008D45AC"/>
    <w:rsid w:val="00907D95"/>
    <w:rsid w:val="00922401"/>
    <w:rsid w:val="0092271C"/>
    <w:rsid w:val="009419C7"/>
    <w:rsid w:val="00945D7B"/>
    <w:rsid w:val="00947E07"/>
    <w:rsid w:val="00950131"/>
    <w:rsid w:val="0095320C"/>
    <w:rsid w:val="009644D0"/>
    <w:rsid w:val="009661F7"/>
    <w:rsid w:val="00976F3F"/>
    <w:rsid w:val="00991A53"/>
    <w:rsid w:val="0099425D"/>
    <w:rsid w:val="009B353D"/>
    <w:rsid w:val="009D06C6"/>
    <w:rsid w:val="009D6CA4"/>
    <w:rsid w:val="00A0215D"/>
    <w:rsid w:val="00A214B2"/>
    <w:rsid w:val="00A30954"/>
    <w:rsid w:val="00A31119"/>
    <w:rsid w:val="00A564E1"/>
    <w:rsid w:val="00A63BFD"/>
    <w:rsid w:val="00AA594A"/>
    <w:rsid w:val="00AB3212"/>
    <w:rsid w:val="00AB3ADB"/>
    <w:rsid w:val="00AE0081"/>
    <w:rsid w:val="00AE08F7"/>
    <w:rsid w:val="00AF6491"/>
    <w:rsid w:val="00B14596"/>
    <w:rsid w:val="00B25339"/>
    <w:rsid w:val="00B32651"/>
    <w:rsid w:val="00B32DF4"/>
    <w:rsid w:val="00B379D1"/>
    <w:rsid w:val="00B46174"/>
    <w:rsid w:val="00B53FD6"/>
    <w:rsid w:val="00B75842"/>
    <w:rsid w:val="00B80DB3"/>
    <w:rsid w:val="00BB11F6"/>
    <w:rsid w:val="00C2682C"/>
    <w:rsid w:val="00C57BB7"/>
    <w:rsid w:val="00C742EA"/>
    <w:rsid w:val="00C841BE"/>
    <w:rsid w:val="00CA24BF"/>
    <w:rsid w:val="00CD5F68"/>
    <w:rsid w:val="00CF090C"/>
    <w:rsid w:val="00D05E7C"/>
    <w:rsid w:val="00D37F0C"/>
    <w:rsid w:val="00D573DF"/>
    <w:rsid w:val="00D80DC8"/>
    <w:rsid w:val="00D93830"/>
    <w:rsid w:val="00D97EC6"/>
    <w:rsid w:val="00DA14CC"/>
    <w:rsid w:val="00DA1FF0"/>
    <w:rsid w:val="00DD5557"/>
    <w:rsid w:val="00DF3998"/>
    <w:rsid w:val="00E01952"/>
    <w:rsid w:val="00E37045"/>
    <w:rsid w:val="00E4276E"/>
    <w:rsid w:val="00E52CB8"/>
    <w:rsid w:val="00E74BB5"/>
    <w:rsid w:val="00E8574D"/>
    <w:rsid w:val="00E87382"/>
    <w:rsid w:val="00E95F64"/>
    <w:rsid w:val="00EB2919"/>
    <w:rsid w:val="00EC58C5"/>
    <w:rsid w:val="00ED0ADF"/>
    <w:rsid w:val="00EE1623"/>
    <w:rsid w:val="00F0489F"/>
    <w:rsid w:val="00F14BF2"/>
    <w:rsid w:val="00F52D2E"/>
    <w:rsid w:val="00F97749"/>
    <w:rsid w:val="00FA229C"/>
    <w:rsid w:val="00FC1AA8"/>
    <w:rsid w:val="00FC4844"/>
    <w:rsid w:val="00FC5C3B"/>
    <w:rsid w:val="00FE70B3"/>
    <w:rsid w:val="01E4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57433"/>
  <w15:docId w15:val="{BB5C3C2D-68B4-4D25-A67F-458D053C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4D0"/>
    <w:pPr>
      <w:tabs>
        <w:tab w:val="center" w:pos="4680"/>
        <w:tab w:val="right" w:pos="9360"/>
      </w:tabs>
    </w:pPr>
  </w:style>
  <w:style w:type="character" w:customStyle="1" w:styleId="HeaderChar">
    <w:name w:val="Header Char"/>
    <w:basedOn w:val="DefaultParagraphFont"/>
    <w:link w:val="Header"/>
    <w:uiPriority w:val="99"/>
    <w:rsid w:val="009644D0"/>
  </w:style>
  <w:style w:type="paragraph" w:styleId="Footer">
    <w:name w:val="footer"/>
    <w:basedOn w:val="Normal"/>
    <w:link w:val="FooterChar"/>
    <w:uiPriority w:val="99"/>
    <w:unhideWhenUsed/>
    <w:rsid w:val="009644D0"/>
    <w:pPr>
      <w:tabs>
        <w:tab w:val="center" w:pos="4680"/>
        <w:tab w:val="right" w:pos="9360"/>
      </w:tabs>
    </w:pPr>
  </w:style>
  <w:style w:type="character" w:customStyle="1" w:styleId="FooterChar">
    <w:name w:val="Footer Char"/>
    <w:basedOn w:val="DefaultParagraphFont"/>
    <w:link w:val="Footer"/>
    <w:uiPriority w:val="99"/>
    <w:rsid w:val="009644D0"/>
  </w:style>
  <w:style w:type="character" w:styleId="Hyperlink">
    <w:name w:val="Hyperlink"/>
    <w:basedOn w:val="DefaultParagraphFont"/>
    <w:uiPriority w:val="99"/>
    <w:unhideWhenUsed/>
    <w:rsid w:val="00350641"/>
    <w:rPr>
      <w:color w:val="0563C1" w:themeColor="hyperlink"/>
      <w:u w:val="single"/>
    </w:rPr>
  </w:style>
  <w:style w:type="paragraph" w:styleId="Revision">
    <w:name w:val="Revision"/>
    <w:hidden/>
    <w:uiPriority w:val="99"/>
    <w:semiHidden/>
    <w:rsid w:val="00594958"/>
  </w:style>
  <w:style w:type="character" w:styleId="UnresolvedMention">
    <w:name w:val="Unresolved Mention"/>
    <w:basedOn w:val="DefaultParagraphFont"/>
    <w:uiPriority w:val="99"/>
    <w:semiHidden/>
    <w:unhideWhenUsed/>
    <w:rsid w:val="002C6E73"/>
    <w:rPr>
      <w:color w:val="605E5C"/>
      <w:shd w:val="clear" w:color="auto" w:fill="E1DFDD"/>
    </w:rPr>
  </w:style>
  <w:style w:type="paragraph" w:customStyle="1" w:styleId="Default">
    <w:name w:val="Default"/>
    <w:rsid w:val="00863B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92796">
      <w:bodyDiv w:val="1"/>
      <w:marLeft w:val="0"/>
      <w:marRight w:val="0"/>
      <w:marTop w:val="0"/>
      <w:marBottom w:val="0"/>
      <w:divBdr>
        <w:top w:val="none" w:sz="0" w:space="0" w:color="auto"/>
        <w:left w:val="none" w:sz="0" w:space="0" w:color="auto"/>
        <w:bottom w:val="none" w:sz="0" w:space="0" w:color="auto"/>
        <w:right w:val="none" w:sz="0" w:space="0" w:color="auto"/>
      </w:divBdr>
    </w:div>
    <w:div w:id="161710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union.com/credit-hel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identity-theft-fraud-scams/frequently-asked-questions-about-the-identity-protection-personal-identification-number-ip-p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identity-theft-fraud-scams/get-an-identity-protection-p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mer.ftc.gov/articles/0155-free-credit-reports" TargetMode="External"/><Relationship Id="rId4" Type="http://schemas.openxmlformats.org/officeDocument/2006/relationships/settings" Target="settings.xml"/><Relationship Id="rId9" Type="http://schemas.openxmlformats.org/officeDocument/2006/relationships/hyperlink" Target="http://www.annualcreditrepo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4963-EB67-4091-B17F-33AA9A8C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1406</Words>
  <Characters>7698</Characters>
  <Application>Microsoft Office Word</Application>
  <DocSecurity>0</DocSecurity>
  <Lines>159</Lines>
  <Paragraphs>59</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DeSalvo</dc:creator>
  <cp:keywords/>
  <cp:lastModifiedBy>John Baker</cp:lastModifiedBy>
  <cp:revision>4</cp:revision>
  <cp:lastPrinted>2021-08-19T22:43:00Z</cp:lastPrinted>
  <dcterms:created xsi:type="dcterms:W3CDTF">2026-01-21T18:54:00Z</dcterms:created>
  <dcterms:modified xsi:type="dcterms:W3CDTF">2026-01-29T14:55:00Z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272502923v.1</vt:lpwstr>
  </property>
</Properties>
</file>